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C9122B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seize et le jeudi </w:t>
      </w:r>
      <w:r w:rsidR="00EC30A2">
        <w:rPr>
          <w:rFonts w:ascii="Tw Cen MT" w:hAnsi="Tw Cen MT" w:cs="Arial"/>
          <w:b/>
          <w:bCs/>
        </w:rPr>
        <w:t>29</w:t>
      </w:r>
      <w:bookmarkStart w:id="0" w:name="_GoBack"/>
      <w:bookmarkEnd w:id="0"/>
      <w:r w:rsidRPr="00887349">
        <w:rPr>
          <w:rFonts w:ascii="Tw Cen MT" w:hAnsi="Tw Cen MT" w:cs="Arial"/>
          <w:b/>
          <w:bCs/>
        </w:rPr>
        <w:t xml:space="preserve"> Décembre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Abarry,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Bachir Mohamed Dangay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Tinni Younoussa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F3677C">
        <w:rPr>
          <w:rFonts w:ascii="Tw Cen MT" w:hAnsi="Tw Cen MT" w:cs="Arial"/>
          <w:b/>
          <w:bCs/>
          <w:color w:val="C00000"/>
        </w:rPr>
        <w:t>1</w:t>
      </w:r>
      <w:r w:rsidR="00AF3632">
        <w:rPr>
          <w:rFonts w:ascii="Tw Cen MT" w:hAnsi="Tw Cen MT" w:cs="Arial"/>
          <w:b/>
          <w:bCs/>
          <w:color w:val="C00000"/>
        </w:rPr>
        <w:t>1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Pr="00887349">
        <w:rPr>
          <w:rFonts w:ascii="Tw Cen MT" w:hAnsi="Tw Cen MT" w:cs="Arial"/>
          <w:b/>
          <w:bCs/>
        </w:rPr>
        <w:t> </w:t>
      </w:r>
      <w:r w:rsidR="00AF3632">
        <w:rPr>
          <w:rFonts w:ascii="Tw Cen MT" w:hAnsi="Tw Cen MT" w:cs="Arial"/>
          <w:b/>
          <w:bCs/>
          <w:color w:val="FF0000"/>
        </w:rPr>
        <w:t>4</w:t>
      </w:r>
      <w:r w:rsidR="008C717B">
        <w:rPr>
          <w:rFonts w:ascii="Tw Cen MT" w:hAnsi="Tw Cen MT" w:cs="Arial"/>
          <w:b/>
          <w:bCs/>
          <w:color w:val="FF0000"/>
        </w:rPr>
        <w:t xml:space="preserve"> </w:t>
      </w:r>
      <w:r w:rsidR="0069399F">
        <w:rPr>
          <w:rFonts w:ascii="Tw Cen MT" w:hAnsi="Tw Cen MT" w:cs="Arial"/>
          <w:b/>
          <w:bCs/>
        </w:rPr>
        <w:t>a</w:t>
      </w:r>
      <w:r w:rsidRPr="00887349">
        <w:rPr>
          <w:rFonts w:ascii="Tw Cen MT" w:hAnsi="Tw Cen MT" w:cs="Arial"/>
          <w:b/>
          <w:bCs/>
        </w:rPr>
        <w:t>nciens dossiers dont les réserves ont été levées</w:t>
      </w:r>
      <w:r w:rsidR="008C717B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  <w:bCs/>
        </w:rPr>
        <w:t xml:space="preserve">et </w:t>
      </w:r>
      <w:r w:rsidR="00AF3632">
        <w:rPr>
          <w:rFonts w:ascii="Tw Cen MT" w:hAnsi="Tw Cen MT" w:cs="Arial"/>
          <w:b/>
          <w:bCs/>
          <w:color w:val="FF0000"/>
        </w:rPr>
        <w:t>7</w:t>
      </w:r>
      <w:r w:rsidRPr="00887349">
        <w:rPr>
          <w:rFonts w:ascii="Tw Cen MT" w:hAnsi="Tw Cen MT" w:cs="Arial"/>
          <w:b/>
          <w:bCs/>
        </w:rPr>
        <w:t xml:space="preserve"> 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AF3632">
        <w:rPr>
          <w:rFonts w:ascii="Tw Cen MT" w:hAnsi="Tw Cen MT" w:cs="Arial"/>
          <w:b/>
          <w:bCs/>
          <w:color w:val="C00000"/>
        </w:rPr>
        <w:t>7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AF3632">
        <w:rPr>
          <w:rFonts w:ascii="Tw Cen MT" w:hAnsi="Tw Cen MT" w:cs="Arial"/>
          <w:b/>
          <w:bCs/>
          <w:color w:val="C00000"/>
        </w:rPr>
        <w:t>4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228"/>
        <w:gridCol w:w="2117"/>
        <w:gridCol w:w="1743"/>
        <w:gridCol w:w="1843"/>
        <w:gridCol w:w="4705"/>
        <w:gridCol w:w="2070"/>
      </w:tblGrid>
      <w:tr w:rsidR="00E04987" w:rsidRPr="00887349" w:rsidTr="009872AF">
        <w:trPr>
          <w:trHeight w:val="733"/>
          <w:jc w:val="center"/>
        </w:trPr>
        <w:tc>
          <w:tcPr>
            <w:tcW w:w="569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228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E04987" w:rsidRPr="00887349" w:rsidTr="009872AF">
        <w:trPr>
          <w:trHeight w:val="523"/>
          <w:jc w:val="center"/>
        </w:trPr>
        <w:tc>
          <w:tcPr>
            <w:tcW w:w="569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228" w:type="dxa"/>
            <w:vAlign w:val="center"/>
          </w:tcPr>
          <w:p w:rsidR="00E04987" w:rsidRPr="00887349" w:rsidRDefault="001154D2" w:rsidP="00852D0B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MAMANE OUSMANE BOUBACAR</w:t>
            </w:r>
          </w:p>
        </w:tc>
        <w:tc>
          <w:tcPr>
            <w:tcW w:w="2117" w:type="dxa"/>
            <w:vAlign w:val="center"/>
          </w:tcPr>
          <w:p w:rsidR="00E04987" w:rsidRPr="00663BA0" w:rsidRDefault="001154D2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</w:rPr>
              <w:t>18 813/D</w:t>
            </w:r>
          </w:p>
          <w:p w:rsidR="00BC3507" w:rsidRPr="00663BA0" w:rsidRDefault="00BC3507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</w:rPr>
              <w:t>Gaba goura</w:t>
            </w:r>
          </w:p>
        </w:tc>
        <w:tc>
          <w:tcPr>
            <w:tcW w:w="1743" w:type="dxa"/>
            <w:vAlign w:val="center"/>
          </w:tcPr>
          <w:p w:rsidR="00E04987" w:rsidRPr="0098657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86579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1843" w:type="dxa"/>
            <w:vAlign w:val="center"/>
          </w:tcPr>
          <w:p w:rsidR="00E04987" w:rsidRPr="0098657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86579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4705" w:type="dxa"/>
            <w:vAlign w:val="center"/>
          </w:tcPr>
          <w:p w:rsidR="00E04987" w:rsidRPr="001154D2" w:rsidRDefault="001154D2" w:rsidP="00852D0B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04987" w:rsidRPr="00986579" w:rsidRDefault="00694846" w:rsidP="00852D0B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986579">
              <w:rPr>
                <w:b/>
                <w:color w:val="00B050"/>
                <w:szCs w:val="32"/>
              </w:rPr>
              <w:t>FAVORABLE</w:t>
            </w:r>
          </w:p>
        </w:tc>
      </w:tr>
      <w:tr w:rsidR="00E04987" w:rsidRPr="00887349" w:rsidTr="00844E23">
        <w:trPr>
          <w:trHeight w:val="48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228" w:type="dxa"/>
            <w:vAlign w:val="center"/>
          </w:tcPr>
          <w:p w:rsidR="00E04987" w:rsidRPr="00887349" w:rsidRDefault="001154D2" w:rsidP="00852D0B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Mr BOUSALAMA MOHAMED JAMILA</w:t>
            </w:r>
          </w:p>
        </w:tc>
        <w:tc>
          <w:tcPr>
            <w:tcW w:w="2117" w:type="dxa"/>
            <w:vAlign w:val="center"/>
          </w:tcPr>
          <w:p w:rsidR="00E04987" w:rsidRDefault="001154D2" w:rsidP="00852D0B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7693/E</w:t>
            </w:r>
          </w:p>
          <w:p w:rsidR="00BC3507" w:rsidRPr="00887349" w:rsidRDefault="00BC3507" w:rsidP="00852D0B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Route Ouallam</w:t>
            </w:r>
          </w:p>
        </w:tc>
        <w:tc>
          <w:tcPr>
            <w:tcW w:w="1743" w:type="dxa"/>
            <w:vAlign w:val="center"/>
          </w:tcPr>
          <w:p w:rsidR="00E04987" w:rsidRPr="00986579" w:rsidRDefault="001154D2" w:rsidP="00852D0B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MINI VILLA</w:t>
            </w:r>
          </w:p>
        </w:tc>
        <w:tc>
          <w:tcPr>
            <w:tcW w:w="1843" w:type="dxa"/>
            <w:vAlign w:val="center"/>
          </w:tcPr>
          <w:p w:rsidR="00E04987" w:rsidRPr="00986579" w:rsidRDefault="00E04987" w:rsidP="00852D0B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HABITATON</w:t>
            </w:r>
          </w:p>
        </w:tc>
        <w:tc>
          <w:tcPr>
            <w:tcW w:w="4705" w:type="dxa"/>
            <w:vAlign w:val="center"/>
          </w:tcPr>
          <w:p w:rsidR="00E04987" w:rsidRPr="008718DC" w:rsidRDefault="00852D0B" w:rsidP="00852D0B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E04987" w:rsidRPr="00986579" w:rsidRDefault="003D53D2" w:rsidP="00852D0B">
            <w:pPr>
              <w:jc w:val="center"/>
              <w:rPr>
                <w:b/>
                <w:color w:val="FF0000"/>
                <w:szCs w:val="32"/>
              </w:rPr>
            </w:pPr>
            <w:r w:rsidRPr="00986579">
              <w:rPr>
                <w:b/>
                <w:color w:val="00B050"/>
                <w:szCs w:val="32"/>
              </w:rPr>
              <w:t>FAVORABLE</w:t>
            </w:r>
          </w:p>
        </w:tc>
      </w:tr>
      <w:tr w:rsidR="00E04987" w:rsidRPr="00887349" w:rsidTr="009872AF">
        <w:trPr>
          <w:trHeight w:val="691"/>
          <w:jc w:val="center"/>
        </w:trPr>
        <w:tc>
          <w:tcPr>
            <w:tcW w:w="569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3</w:t>
            </w:r>
          </w:p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228" w:type="dxa"/>
            <w:vAlign w:val="center"/>
          </w:tcPr>
          <w:p w:rsidR="00E04987" w:rsidRPr="00887349" w:rsidRDefault="001154D2" w:rsidP="00852D0B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NOUHOU  YACOUBA</w:t>
            </w:r>
          </w:p>
        </w:tc>
        <w:tc>
          <w:tcPr>
            <w:tcW w:w="2117" w:type="dxa"/>
            <w:vAlign w:val="center"/>
          </w:tcPr>
          <w:p w:rsidR="00E04987" w:rsidRDefault="001154D2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6016/A</w:t>
            </w:r>
          </w:p>
          <w:p w:rsidR="00BC3507" w:rsidRPr="00887349" w:rsidRDefault="00BC3507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Sary koubou</w:t>
            </w:r>
          </w:p>
        </w:tc>
        <w:tc>
          <w:tcPr>
            <w:tcW w:w="1743" w:type="dxa"/>
            <w:vAlign w:val="center"/>
          </w:tcPr>
          <w:p w:rsidR="00E04987" w:rsidRPr="00986579" w:rsidRDefault="00986579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986579">
              <w:rPr>
                <w:rFonts w:ascii="Tw Cen MT" w:hAnsi="Tw Cen MT" w:cs="Arial"/>
                <w:b/>
                <w:bCs/>
              </w:rPr>
              <w:t>VILLA</w:t>
            </w:r>
          </w:p>
        </w:tc>
        <w:tc>
          <w:tcPr>
            <w:tcW w:w="1843" w:type="dxa"/>
            <w:vAlign w:val="center"/>
          </w:tcPr>
          <w:p w:rsidR="00E04987" w:rsidRPr="00986579" w:rsidRDefault="00986579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986579">
              <w:rPr>
                <w:rFonts w:ascii="Tw Cen MT" w:hAnsi="Tw Cen MT" w:cs="Arial"/>
                <w:b/>
              </w:rPr>
              <w:t>HABITATON</w:t>
            </w:r>
          </w:p>
        </w:tc>
        <w:tc>
          <w:tcPr>
            <w:tcW w:w="4705" w:type="dxa"/>
            <w:vAlign w:val="center"/>
          </w:tcPr>
          <w:p w:rsidR="00E04987" w:rsidRPr="00852D0B" w:rsidRDefault="00852D0B" w:rsidP="00852D0B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986579" w:rsidRPr="00986579" w:rsidRDefault="00986579" w:rsidP="00986579">
            <w:pPr>
              <w:rPr>
                <w:rFonts w:ascii="Tw Cen MT" w:hAnsi="Tw Cen MT" w:cs="Arial"/>
                <w:b/>
                <w:color w:val="FF0000"/>
                <w:sz w:val="20"/>
              </w:rPr>
            </w:pPr>
            <w:r w:rsidRPr="00986579">
              <w:rPr>
                <w:rFonts w:ascii="Tw Cen MT" w:hAnsi="Tw Cen MT" w:cs="Arial"/>
                <w:b/>
                <w:color w:val="FF0000"/>
                <w:sz w:val="20"/>
              </w:rPr>
              <w:t>DGSTM/DTNEI/VN</w:t>
            </w:r>
          </w:p>
          <w:p w:rsidR="00986579" w:rsidRPr="00887349" w:rsidRDefault="00986579" w:rsidP="0098657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 w:rsidR="000A734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986579" w:rsidRPr="00887349" w:rsidRDefault="00986579" w:rsidP="0098657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</w:t>
            </w:r>
            <w:r w:rsidR="000A7340"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 </w:t>
            </w:r>
            <w:r w:rsidR="000A734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04987" w:rsidRPr="00887349" w:rsidRDefault="00986579" w:rsidP="00986579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04987" w:rsidRPr="00986579" w:rsidRDefault="00E94F19" w:rsidP="00852D0B">
            <w:pPr>
              <w:jc w:val="center"/>
              <w:rPr>
                <w:b/>
                <w:color w:val="FF0000"/>
                <w:szCs w:val="32"/>
                <w:lang w:val="en-US"/>
              </w:rPr>
            </w:pPr>
            <w:r w:rsidRPr="00986579">
              <w:rPr>
                <w:b/>
                <w:color w:val="FF0000"/>
                <w:szCs w:val="32"/>
              </w:rPr>
              <w:t>DE</w:t>
            </w:r>
            <w:r w:rsidR="00E04987" w:rsidRPr="00986579">
              <w:rPr>
                <w:b/>
                <w:color w:val="FF0000"/>
                <w:szCs w:val="32"/>
              </w:rPr>
              <w:t>FAVORABL</w:t>
            </w:r>
            <w:r w:rsidR="00694846" w:rsidRPr="00986579">
              <w:rPr>
                <w:b/>
                <w:color w:val="FF0000"/>
                <w:szCs w:val="32"/>
              </w:rPr>
              <w:t>E</w:t>
            </w:r>
          </w:p>
        </w:tc>
      </w:tr>
      <w:tr w:rsidR="00E04987" w:rsidRPr="00887349" w:rsidTr="00054E94">
        <w:trPr>
          <w:trHeight w:val="71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04987" w:rsidRPr="00054E94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054E94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228" w:type="dxa"/>
            <w:vAlign w:val="center"/>
          </w:tcPr>
          <w:p w:rsidR="00E04987" w:rsidRPr="00887349" w:rsidRDefault="00E94F19" w:rsidP="00852D0B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OIL LIBYA NIGR SA</w:t>
            </w:r>
          </w:p>
        </w:tc>
        <w:tc>
          <w:tcPr>
            <w:tcW w:w="2117" w:type="dxa"/>
            <w:vAlign w:val="center"/>
          </w:tcPr>
          <w:p w:rsidR="00E04987" w:rsidRPr="00BC3507" w:rsidRDefault="00E94F19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BC3507">
              <w:rPr>
                <w:rFonts w:ascii="Tw Cen MT" w:hAnsi="Tw Cen MT" w:cs="Arial"/>
                <w:b/>
                <w:bCs/>
              </w:rPr>
              <w:t>TFN 22092</w:t>
            </w:r>
          </w:p>
          <w:p w:rsidR="00E94F19" w:rsidRPr="00BC3507" w:rsidRDefault="00E94F19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BC3507">
              <w:rPr>
                <w:rFonts w:ascii="Tw Cen MT" w:hAnsi="Tw Cen MT" w:cs="Arial"/>
                <w:b/>
                <w:bCs/>
              </w:rPr>
              <w:t xml:space="preserve">2550/F </w:t>
            </w:r>
            <w:r w:rsidR="00BC3507" w:rsidRPr="00BC3507">
              <w:rPr>
                <w:rFonts w:ascii="Tw Cen MT" w:hAnsi="Tw Cen MT" w:cs="Arial"/>
                <w:b/>
                <w:bCs/>
              </w:rPr>
              <w:t>–</w:t>
            </w:r>
            <w:r w:rsidRPr="00BC3507">
              <w:rPr>
                <w:rFonts w:ascii="Tw Cen MT" w:hAnsi="Tw Cen MT" w:cs="Arial"/>
                <w:b/>
                <w:bCs/>
              </w:rPr>
              <w:t xml:space="preserve"> G</w:t>
            </w:r>
          </w:p>
          <w:p w:rsidR="00BC3507" w:rsidRPr="00BC3507" w:rsidRDefault="00BC350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BC3507">
              <w:rPr>
                <w:rFonts w:ascii="Tw Cen MT" w:hAnsi="Tw Cen MT" w:cs="Arial"/>
                <w:b/>
                <w:bCs/>
              </w:rPr>
              <w:t>Foulani koira</w:t>
            </w:r>
          </w:p>
        </w:tc>
        <w:tc>
          <w:tcPr>
            <w:tcW w:w="1743" w:type="dxa"/>
            <w:vAlign w:val="center"/>
          </w:tcPr>
          <w:p w:rsidR="00E04987" w:rsidRPr="00986579" w:rsidRDefault="00E94F19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986579">
              <w:rPr>
                <w:rFonts w:ascii="Tw Cen MT" w:hAnsi="Tw Cen MT" w:cs="Arial"/>
                <w:b/>
                <w:bCs/>
                <w:lang w:val="en-US"/>
              </w:rPr>
              <w:t xml:space="preserve">VIDANGE </w:t>
            </w:r>
            <w:r w:rsidR="00115777" w:rsidRPr="00986579"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r w:rsidRPr="00986579">
              <w:rPr>
                <w:rFonts w:ascii="Tw Cen MT" w:hAnsi="Tw Cen MT" w:cs="Arial"/>
                <w:b/>
                <w:bCs/>
                <w:lang w:val="en-US"/>
              </w:rPr>
              <w:t>LAVAGE</w:t>
            </w:r>
          </w:p>
        </w:tc>
        <w:tc>
          <w:tcPr>
            <w:tcW w:w="1843" w:type="dxa"/>
            <w:vAlign w:val="center"/>
          </w:tcPr>
          <w:p w:rsidR="00E04987" w:rsidRPr="00986579" w:rsidRDefault="00E94F19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986579">
              <w:rPr>
                <w:rFonts w:ascii="Tw Cen MT" w:hAnsi="Tw Cen MT" w:cs="Arial"/>
                <w:b/>
                <w:bCs/>
                <w:lang w:val="en-US"/>
              </w:rPr>
              <w:t>COMMERCIAL</w:t>
            </w:r>
          </w:p>
        </w:tc>
        <w:tc>
          <w:tcPr>
            <w:tcW w:w="4705" w:type="dxa"/>
            <w:vAlign w:val="center"/>
          </w:tcPr>
          <w:p w:rsidR="00A362B4" w:rsidRPr="00AF3632" w:rsidRDefault="006E0502" w:rsidP="00852D0B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04987" w:rsidRPr="00986579" w:rsidRDefault="00AF3632" w:rsidP="00852D0B">
            <w:pPr>
              <w:tabs>
                <w:tab w:val="left" w:pos="120"/>
                <w:tab w:val="center" w:pos="1365"/>
              </w:tabs>
              <w:jc w:val="center"/>
              <w:rPr>
                <w:b/>
                <w:color w:val="FF0000"/>
                <w:szCs w:val="32"/>
                <w:lang w:val="en-US"/>
              </w:rPr>
            </w:pPr>
            <w:r w:rsidRPr="00986579">
              <w:rPr>
                <w:b/>
                <w:color w:val="00B050"/>
                <w:szCs w:val="32"/>
              </w:rPr>
              <w:t>FAVORABLE</w:t>
            </w:r>
          </w:p>
        </w:tc>
      </w:tr>
      <w:tr w:rsidR="00E04987" w:rsidRPr="00887349" w:rsidTr="004E2B4A">
        <w:trPr>
          <w:trHeight w:val="411"/>
          <w:jc w:val="center"/>
        </w:trPr>
        <w:tc>
          <w:tcPr>
            <w:tcW w:w="569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228" w:type="dxa"/>
            <w:vAlign w:val="center"/>
          </w:tcPr>
          <w:p w:rsidR="00E04987" w:rsidRPr="00887349" w:rsidRDefault="00E94F19" w:rsidP="00986579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 xml:space="preserve">Mr </w:t>
            </w:r>
            <w:r w:rsidR="00986579">
              <w:rPr>
                <w:rFonts w:ascii="Tw Cen MT" w:hAnsi="Tw Cen MT" w:cs="Arial"/>
                <w:b/>
                <w:bCs/>
              </w:rPr>
              <w:t>KADEDE  TADO</w:t>
            </w:r>
          </w:p>
        </w:tc>
        <w:tc>
          <w:tcPr>
            <w:tcW w:w="2117" w:type="dxa"/>
            <w:vAlign w:val="center"/>
          </w:tcPr>
          <w:p w:rsidR="00A25A2C" w:rsidRDefault="00986579" w:rsidP="00A25A2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7724</w:t>
            </w:r>
          </w:p>
          <w:p w:rsidR="00BC3507" w:rsidRPr="00887349" w:rsidRDefault="00BC3507" w:rsidP="00A25A2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</w:rPr>
              <w:t>Route Ouallam</w:t>
            </w:r>
          </w:p>
        </w:tc>
        <w:tc>
          <w:tcPr>
            <w:tcW w:w="1743" w:type="dxa"/>
            <w:vAlign w:val="center"/>
          </w:tcPr>
          <w:p w:rsidR="00E04987" w:rsidRPr="00986579" w:rsidRDefault="00986579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2 </w:t>
            </w:r>
            <w:r w:rsidRPr="00986579">
              <w:rPr>
                <w:rFonts w:ascii="Tw Cen MT" w:hAnsi="Tw Cen MT" w:cs="Arial"/>
                <w:b/>
              </w:rPr>
              <w:t>MINI VILLA</w:t>
            </w:r>
            <w:r>
              <w:rPr>
                <w:rFonts w:ascii="Tw Cen MT" w:hAnsi="Tw Cen MT" w:cs="Arial"/>
                <w:b/>
              </w:rPr>
              <w:t>S</w:t>
            </w:r>
          </w:p>
        </w:tc>
        <w:tc>
          <w:tcPr>
            <w:tcW w:w="1843" w:type="dxa"/>
            <w:vAlign w:val="center"/>
          </w:tcPr>
          <w:p w:rsidR="00E04987" w:rsidRPr="00986579" w:rsidRDefault="00E94F19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86579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4705" w:type="dxa"/>
            <w:vAlign w:val="center"/>
          </w:tcPr>
          <w:p w:rsidR="00E04987" w:rsidRPr="00986579" w:rsidRDefault="00E94F19" w:rsidP="00852D0B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E04987" w:rsidRPr="00986579" w:rsidRDefault="00086287" w:rsidP="00852D0B">
            <w:pPr>
              <w:jc w:val="center"/>
              <w:rPr>
                <w:b/>
                <w:color w:val="FF0000"/>
                <w:szCs w:val="32"/>
              </w:rPr>
            </w:pPr>
            <w:r w:rsidRPr="00986579">
              <w:rPr>
                <w:b/>
                <w:color w:val="00B050"/>
                <w:szCs w:val="32"/>
              </w:rPr>
              <w:t>FAVORABLE</w:t>
            </w:r>
          </w:p>
        </w:tc>
      </w:tr>
      <w:tr w:rsidR="006E0502" w:rsidRPr="00887349" w:rsidTr="004E2B4A">
        <w:trPr>
          <w:trHeight w:val="461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02" w:rsidRPr="00887349" w:rsidRDefault="006E0502" w:rsidP="006E050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6E0502" w:rsidRPr="00887349" w:rsidRDefault="006E0502" w:rsidP="006E0502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Mr BARMOU SALIFOU</w:t>
            </w:r>
          </w:p>
        </w:tc>
        <w:tc>
          <w:tcPr>
            <w:tcW w:w="2117" w:type="dxa"/>
            <w:vAlign w:val="center"/>
          </w:tcPr>
          <w:p w:rsidR="006E0502" w:rsidRDefault="006E0502" w:rsidP="006E050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9029/K</w:t>
            </w:r>
          </w:p>
          <w:p w:rsidR="00BC3507" w:rsidRPr="00887349" w:rsidRDefault="00BC3507" w:rsidP="006E050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Zac</w:t>
            </w:r>
          </w:p>
        </w:tc>
        <w:tc>
          <w:tcPr>
            <w:tcW w:w="1743" w:type="dxa"/>
            <w:vAlign w:val="center"/>
          </w:tcPr>
          <w:p w:rsidR="006E0502" w:rsidRPr="00986579" w:rsidRDefault="006E0502" w:rsidP="006E0502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6E0502" w:rsidRPr="00986579" w:rsidRDefault="006E0502" w:rsidP="006E0502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6E0502" w:rsidRPr="006E0502" w:rsidRDefault="006E0502" w:rsidP="006E050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6E0502" w:rsidRPr="00986579" w:rsidRDefault="006E0502" w:rsidP="006E0502">
            <w:pPr>
              <w:tabs>
                <w:tab w:val="left" w:pos="120"/>
                <w:tab w:val="center" w:pos="1365"/>
              </w:tabs>
              <w:jc w:val="center"/>
              <w:rPr>
                <w:b/>
                <w:color w:val="FF0000"/>
                <w:szCs w:val="32"/>
                <w:lang w:val="en-US"/>
              </w:rPr>
            </w:pPr>
            <w:r w:rsidRPr="00986579">
              <w:rPr>
                <w:b/>
                <w:color w:val="00B050"/>
                <w:szCs w:val="32"/>
              </w:rPr>
              <w:t>FAVORABLE</w:t>
            </w:r>
          </w:p>
        </w:tc>
      </w:tr>
      <w:tr w:rsidR="006E0502" w:rsidRPr="00887349" w:rsidTr="004E2B4A">
        <w:trPr>
          <w:trHeight w:val="908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02" w:rsidRPr="00887349" w:rsidRDefault="006E0502" w:rsidP="006E050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6E0502" w:rsidRPr="00887349" w:rsidRDefault="006E0502" w:rsidP="006E0502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Mme HADIZATOU MAHAMAN NARGOUNGOU</w:t>
            </w:r>
          </w:p>
        </w:tc>
        <w:tc>
          <w:tcPr>
            <w:tcW w:w="2117" w:type="dxa"/>
            <w:vAlign w:val="center"/>
          </w:tcPr>
          <w:p w:rsidR="006E0502" w:rsidRDefault="006E0502" w:rsidP="006E050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8451/R</w:t>
            </w:r>
          </w:p>
          <w:p w:rsidR="00BC3507" w:rsidRPr="00887349" w:rsidRDefault="00BC3507" w:rsidP="006E050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Nord-Ouest Francophonie</w:t>
            </w:r>
          </w:p>
        </w:tc>
        <w:tc>
          <w:tcPr>
            <w:tcW w:w="1743" w:type="dxa"/>
            <w:vAlign w:val="center"/>
          </w:tcPr>
          <w:p w:rsidR="006E0502" w:rsidRPr="00986579" w:rsidRDefault="006E0502" w:rsidP="006E0502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6E0502" w:rsidRPr="00986579" w:rsidRDefault="006E0502" w:rsidP="006E0502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6E0502" w:rsidRPr="006E0502" w:rsidRDefault="006E0502" w:rsidP="006E0502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6E0502" w:rsidRPr="00986579" w:rsidRDefault="00086287" w:rsidP="006E0502">
            <w:pPr>
              <w:tabs>
                <w:tab w:val="left" w:pos="120"/>
                <w:tab w:val="center" w:pos="1365"/>
              </w:tabs>
              <w:jc w:val="center"/>
              <w:rPr>
                <w:b/>
                <w:color w:val="00B050"/>
                <w:szCs w:val="32"/>
              </w:rPr>
            </w:pPr>
            <w:r w:rsidRPr="00986579">
              <w:rPr>
                <w:b/>
                <w:color w:val="00B050"/>
                <w:szCs w:val="32"/>
              </w:rPr>
              <w:t>FAVORABLE</w:t>
            </w:r>
          </w:p>
        </w:tc>
      </w:tr>
      <w:tr w:rsidR="00086287" w:rsidRPr="00D45F5E" w:rsidTr="00086287">
        <w:trPr>
          <w:trHeight w:val="566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87" w:rsidRDefault="00086287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086287" w:rsidRPr="00D45F5E" w:rsidRDefault="00086287" w:rsidP="00086287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D45F5E">
              <w:rPr>
                <w:rFonts w:ascii="Tw Cen MT" w:hAnsi="Tw Cen MT" w:cs="Arial"/>
                <w:b/>
                <w:bCs/>
                <w:lang w:val="en-US"/>
              </w:rPr>
              <w:t>Mr GODOMOU EUGENE GUSTAVE ANSELME</w:t>
            </w:r>
          </w:p>
        </w:tc>
        <w:tc>
          <w:tcPr>
            <w:tcW w:w="2117" w:type="dxa"/>
            <w:vAlign w:val="center"/>
          </w:tcPr>
          <w:p w:rsidR="00086287" w:rsidRDefault="00086287" w:rsidP="0008628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7628/I</w:t>
            </w:r>
          </w:p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Idé Gano</w:t>
            </w:r>
          </w:p>
        </w:tc>
        <w:tc>
          <w:tcPr>
            <w:tcW w:w="1743" w:type="dxa"/>
            <w:vAlign w:val="center"/>
          </w:tcPr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086287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086287" w:rsidRPr="00887349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086287" w:rsidRPr="00887349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086287" w:rsidRPr="000D0E62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086287" w:rsidRDefault="00086287" w:rsidP="00086287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086287" w:rsidRPr="00721287" w:rsidTr="00086287">
        <w:trPr>
          <w:trHeight w:val="56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87" w:rsidRDefault="00086287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086287" w:rsidRPr="00D45F5E" w:rsidRDefault="00086287" w:rsidP="00086287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ELH BOUBE HADIZA</w:t>
            </w:r>
          </w:p>
        </w:tc>
        <w:tc>
          <w:tcPr>
            <w:tcW w:w="2117" w:type="dxa"/>
            <w:vAlign w:val="center"/>
          </w:tcPr>
          <w:p w:rsidR="00086287" w:rsidRPr="00721287" w:rsidRDefault="00086287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721287">
              <w:rPr>
                <w:rFonts w:ascii="Tw Cen MT" w:hAnsi="Tw Cen MT" w:cs="Arial"/>
                <w:b/>
                <w:bCs/>
              </w:rPr>
              <w:t>10 616/C, D, E, F</w:t>
            </w:r>
          </w:p>
          <w:p w:rsidR="00086287" w:rsidRPr="00721287" w:rsidRDefault="00086287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721287">
              <w:rPr>
                <w:rFonts w:ascii="Tw Cen MT" w:hAnsi="Tw Cen MT" w:cs="Arial"/>
                <w:b/>
                <w:bCs/>
              </w:rPr>
              <w:t>Yassalam</w:t>
            </w:r>
          </w:p>
        </w:tc>
        <w:tc>
          <w:tcPr>
            <w:tcW w:w="1743" w:type="dxa"/>
            <w:vAlign w:val="center"/>
          </w:tcPr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086287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086287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086287" w:rsidRPr="004E2B4A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086287" w:rsidRDefault="00086287" w:rsidP="00086287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086287" w:rsidRPr="00721287" w:rsidTr="00086287">
        <w:trPr>
          <w:trHeight w:val="971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87" w:rsidRDefault="00086287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086287" w:rsidRDefault="00086287" w:rsidP="00086287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HOUSSEINI  ABDOUL HABIBOU</w:t>
            </w:r>
          </w:p>
        </w:tc>
        <w:tc>
          <w:tcPr>
            <w:tcW w:w="2117" w:type="dxa"/>
            <w:vAlign w:val="center"/>
          </w:tcPr>
          <w:p w:rsidR="00086287" w:rsidRDefault="00086287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6206</w:t>
            </w:r>
            <w:r w:rsidRPr="00721287">
              <w:rPr>
                <w:rFonts w:ascii="Tw Cen MT" w:hAnsi="Tw Cen MT" w:cs="Arial"/>
                <w:b/>
                <w:bCs/>
                <w:vertAlign w:val="superscript"/>
              </w:rPr>
              <w:t>bis</w:t>
            </w:r>
            <w:r>
              <w:rPr>
                <w:rFonts w:ascii="Tw Cen MT" w:hAnsi="Tw Cen MT" w:cs="Arial"/>
                <w:b/>
                <w:bCs/>
              </w:rPr>
              <w:t xml:space="preserve"> / D</w:t>
            </w:r>
          </w:p>
          <w:p w:rsidR="00086287" w:rsidRPr="00721287" w:rsidRDefault="00086287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Sary - koubou</w:t>
            </w:r>
          </w:p>
        </w:tc>
        <w:tc>
          <w:tcPr>
            <w:tcW w:w="1743" w:type="dxa"/>
            <w:vAlign w:val="center"/>
          </w:tcPr>
          <w:p w:rsidR="00086287" w:rsidRPr="00986579" w:rsidRDefault="00086287" w:rsidP="0008628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086287" w:rsidRPr="00986579" w:rsidRDefault="00086287" w:rsidP="00086287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086287" w:rsidRPr="008557F7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086287" w:rsidRDefault="00086287" w:rsidP="00086287">
            <w:pPr>
              <w:rPr>
                <w:rFonts w:ascii="Tw Cen MT" w:hAnsi="Tw Cen MT" w:cs="Arial"/>
                <w:b/>
                <w:color w:val="FF0000"/>
                <w:sz w:val="20"/>
              </w:rPr>
            </w:pPr>
            <w:r w:rsidRPr="00986579">
              <w:rPr>
                <w:rFonts w:ascii="Tw Cen MT" w:hAnsi="Tw Cen MT" w:cs="Arial"/>
                <w:b/>
                <w:color w:val="FF0000"/>
                <w:sz w:val="20"/>
              </w:rPr>
              <w:t>DGSTM/DAU/GF/VN</w:t>
            </w:r>
          </w:p>
          <w:p w:rsidR="00086287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086287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l’Hygiéne</w:t>
            </w:r>
          </w:p>
          <w:p w:rsidR="00086287" w:rsidRPr="00887349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086287" w:rsidRDefault="00086287" w:rsidP="00086287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877413" w:rsidRPr="00721287" w:rsidTr="00877413">
        <w:trPr>
          <w:trHeight w:val="416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13" w:rsidRDefault="00877413" w:rsidP="00877413">
            <w:pPr>
              <w:spacing w:line="256" w:lineRule="auto"/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11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877413" w:rsidRDefault="00877413" w:rsidP="00877413">
            <w:pPr>
              <w:spacing w:line="256" w:lineRule="auto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Mme SALAMOU GOUROUZA</w:t>
            </w:r>
          </w:p>
        </w:tc>
        <w:tc>
          <w:tcPr>
            <w:tcW w:w="2117" w:type="dxa"/>
            <w:vAlign w:val="center"/>
          </w:tcPr>
          <w:p w:rsidR="00877413" w:rsidRDefault="00877413" w:rsidP="00877413">
            <w:pPr>
              <w:spacing w:line="256" w:lineRule="auto"/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3785/G</w:t>
            </w:r>
          </w:p>
          <w:p w:rsidR="00877413" w:rsidRDefault="00877413" w:rsidP="00877413">
            <w:pPr>
              <w:spacing w:line="256" w:lineRule="auto"/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Zone des Ambassades</w:t>
            </w:r>
          </w:p>
        </w:tc>
        <w:tc>
          <w:tcPr>
            <w:tcW w:w="1743" w:type="dxa"/>
            <w:vAlign w:val="center"/>
          </w:tcPr>
          <w:p w:rsidR="00877413" w:rsidRDefault="00877413" w:rsidP="00877413">
            <w:pPr>
              <w:spacing w:line="256" w:lineRule="auto"/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877413">
              <w:rPr>
                <w:rFonts w:ascii="Tw Cen MT" w:hAnsi="Tw Cen MT" w:cs="Arial"/>
                <w:b/>
                <w:bCs/>
                <w:szCs w:val="28"/>
              </w:rPr>
              <w:t>2Etages R + 1</w:t>
            </w:r>
          </w:p>
        </w:tc>
        <w:tc>
          <w:tcPr>
            <w:tcW w:w="1843" w:type="dxa"/>
            <w:vAlign w:val="center"/>
          </w:tcPr>
          <w:p w:rsidR="00877413" w:rsidRDefault="00877413" w:rsidP="00877413">
            <w:pPr>
              <w:spacing w:line="256" w:lineRule="auto"/>
              <w:jc w:val="center"/>
              <w:rPr>
                <w:rFonts w:ascii="Tw Cen MT" w:hAnsi="Tw Cen MT" w:cs="Arial"/>
                <w:b/>
                <w:bCs/>
                <w:sz w:val="32"/>
                <w:szCs w:val="32"/>
              </w:rPr>
            </w:pPr>
            <w:r w:rsidRPr="00877413">
              <w:rPr>
                <w:rFonts w:ascii="Tw Cen MT" w:hAnsi="Tw Cen MT" w:cs="Arial"/>
                <w:b/>
                <w:bCs/>
                <w:szCs w:val="32"/>
              </w:rPr>
              <w:t>HABITATION</w:t>
            </w:r>
          </w:p>
        </w:tc>
        <w:tc>
          <w:tcPr>
            <w:tcW w:w="4705" w:type="dxa"/>
            <w:vAlign w:val="center"/>
          </w:tcPr>
          <w:p w:rsidR="00877413" w:rsidRPr="006E0502" w:rsidRDefault="00877413" w:rsidP="00877413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877413" w:rsidRPr="00986579" w:rsidRDefault="00877413" w:rsidP="00877413">
            <w:pPr>
              <w:tabs>
                <w:tab w:val="left" w:pos="120"/>
                <w:tab w:val="center" w:pos="1365"/>
              </w:tabs>
              <w:jc w:val="center"/>
              <w:rPr>
                <w:b/>
                <w:color w:val="FF0000"/>
                <w:szCs w:val="32"/>
                <w:lang w:val="en-US"/>
              </w:rPr>
            </w:pPr>
            <w:r w:rsidRPr="00986579">
              <w:rPr>
                <w:b/>
                <w:color w:val="00B050"/>
                <w:szCs w:val="32"/>
              </w:rPr>
              <w:t>FAVORABLE</w:t>
            </w:r>
          </w:p>
        </w:tc>
      </w:tr>
    </w:tbl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492DD3">
        <w:rPr>
          <w:rFonts w:ascii="Tw Cen MT" w:hAnsi="Tw Cen MT"/>
          <w:b/>
          <w:sz w:val="28"/>
          <w:szCs w:val="28"/>
        </w:rPr>
        <w:t>29</w:t>
      </w:r>
      <w:r w:rsidRPr="00887349">
        <w:rPr>
          <w:rFonts w:ascii="Tw Cen MT" w:hAnsi="Tw Cen MT"/>
          <w:b/>
          <w:sz w:val="28"/>
          <w:szCs w:val="28"/>
        </w:rPr>
        <w:t xml:space="preserve"> Décembre 2016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>
      <w:pPr>
        <w:rPr>
          <w:b/>
        </w:rPr>
      </w:pPr>
    </w:p>
    <w:sectPr w:rsidR="00E04987" w:rsidRPr="00887349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2B" w:rsidRDefault="00C9122B">
      <w:r>
        <w:separator/>
      </w:r>
    </w:p>
  </w:endnote>
  <w:endnote w:type="continuationSeparator" w:id="0">
    <w:p w:rsidR="00C9122B" w:rsidRDefault="00C9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C912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0A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11BB1" w:rsidRDefault="00C9122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2B" w:rsidRDefault="00C9122B">
      <w:r>
        <w:separator/>
      </w:r>
    </w:p>
  </w:footnote>
  <w:footnote w:type="continuationSeparator" w:id="0">
    <w:p w:rsidR="00C9122B" w:rsidRDefault="00C9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25A32"/>
    <w:rsid w:val="00053AEB"/>
    <w:rsid w:val="00054E94"/>
    <w:rsid w:val="00086287"/>
    <w:rsid w:val="000A7340"/>
    <w:rsid w:val="000D0E62"/>
    <w:rsid w:val="001154D2"/>
    <w:rsid w:val="00115777"/>
    <w:rsid w:val="00142432"/>
    <w:rsid w:val="00157B26"/>
    <w:rsid w:val="0016519D"/>
    <w:rsid w:val="00230847"/>
    <w:rsid w:val="002465AF"/>
    <w:rsid w:val="00290598"/>
    <w:rsid w:val="002E5125"/>
    <w:rsid w:val="003467DE"/>
    <w:rsid w:val="003D53D2"/>
    <w:rsid w:val="004023A3"/>
    <w:rsid w:val="00462106"/>
    <w:rsid w:val="00492DD3"/>
    <w:rsid w:val="00497AE3"/>
    <w:rsid w:val="004E2B4A"/>
    <w:rsid w:val="00575A05"/>
    <w:rsid w:val="00576CAA"/>
    <w:rsid w:val="0058017B"/>
    <w:rsid w:val="00594F21"/>
    <w:rsid w:val="006411FF"/>
    <w:rsid w:val="00661C6A"/>
    <w:rsid w:val="00663BA0"/>
    <w:rsid w:val="0069399F"/>
    <w:rsid w:val="00694846"/>
    <w:rsid w:val="006D3C6A"/>
    <w:rsid w:val="006E0502"/>
    <w:rsid w:val="00705608"/>
    <w:rsid w:val="00714974"/>
    <w:rsid w:val="00721287"/>
    <w:rsid w:val="00730D16"/>
    <w:rsid w:val="00731A51"/>
    <w:rsid w:val="007E5BE9"/>
    <w:rsid w:val="008003EC"/>
    <w:rsid w:val="00844E23"/>
    <w:rsid w:val="00852D0B"/>
    <w:rsid w:val="008557F7"/>
    <w:rsid w:val="008718DC"/>
    <w:rsid w:val="00877413"/>
    <w:rsid w:val="00887349"/>
    <w:rsid w:val="008C717B"/>
    <w:rsid w:val="008D30F4"/>
    <w:rsid w:val="008F0E7B"/>
    <w:rsid w:val="009370CC"/>
    <w:rsid w:val="00986579"/>
    <w:rsid w:val="009872AF"/>
    <w:rsid w:val="009D3018"/>
    <w:rsid w:val="00A03EAD"/>
    <w:rsid w:val="00A23A4F"/>
    <w:rsid w:val="00A25A2C"/>
    <w:rsid w:val="00A362B4"/>
    <w:rsid w:val="00A409BA"/>
    <w:rsid w:val="00A8554C"/>
    <w:rsid w:val="00AF3632"/>
    <w:rsid w:val="00BA4DFC"/>
    <w:rsid w:val="00BB7C29"/>
    <w:rsid w:val="00BC3507"/>
    <w:rsid w:val="00BE7312"/>
    <w:rsid w:val="00C44597"/>
    <w:rsid w:val="00C7262B"/>
    <w:rsid w:val="00C80E6B"/>
    <w:rsid w:val="00C9122B"/>
    <w:rsid w:val="00D31A47"/>
    <w:rsid w:val="00D45F5E"/>
    <w:rsid w:val="00D51084"/>
    <w:rsid w:val="00E04987"/>
    <w:rsid w:val="00E11902"/>
    <w:rsid w:val="00E94EA6"/>
    <w:rsid w:val="00E94F19"/>
    <w:rsid w:val="00EC30A2"/>
    <w:rsid w:val="00EF3F04"/>
    <w:rsid w:val="00F3677C"/>
    <w:rsid w:val="00F37D1C"/>
    <w:rsid w:val="00F52A45"/>
    <w:rsid w:val="00F87E83"/>
    <w:rsid w:val="00FC0F57"/>
    <w:rsid w:val="00FC5366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4</cp:revision>
  <dcterms:created xsi:type="dcterms:W3CDTF">2017-01-05T14:00:00Z</dcterms:created>
  <dcterms:modified xsi:type="dcterms:W3CDTF">2017-02-15T09:43:00Z</dcterms:modified>
</cp:coreProperties>
</file>